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435" w:rsidRDefault="003E3D42">
      <w:r>
        <w:t>DIRETORIA DA AFAPC SE REÚNE COM DIRETOR DE ITAIPU BINACIONAL</w:t>
      </w:r>
    </w:p>
    <w:p w:rsidR="003E3D42" w:rsidRDefault="003E3D42"/>
    <w:p w:rsidR="003E3D42" w:rsidRDefault="003E3D42" w:rsidP="00A80D8B">
      <w:pPr>
        <w:jc w:val="both"/>
      </w:pPr>
      <w:r>
        <w:t xml:space="preserve">Na tarde do dia 06/02, o diretor de ITAIPU – </w:t>
      </w:r>
      <w:r w:rsidR="00B56773">
        <w:t>Sr. Sérgio Benevides – recebeu os</w:t>
      </w:r>
      <w:r>
        <w:t xml:space="preserve"> diretores da AFAPC, em reunião visando esclarecimentos sobre a venda dos imóveis da Vi</w:t>
      </w:r>
      <w:r w:rsidR="00F163A9">
        <w:t>l</w:t>
      </w:r>
      <w:r>
        <w:t xml:space="preserve">a “A” aos terceiros permissionários, conforme conteúdo de resolução do conselho de administração – RCA 050/13 DE 06/12/2013, que circulou informalmente entre os </w:t>
      </w:r>
      <w:proofErr w:type="spellStart"/>
      <w:r>
        <w:t>associados-moradores</w:t>
      </w:r>
      <w:proofErr w:type="spellEnd"/>
      <w:r>
        <w:t xml:space="preserve"> da AFAPC.</w:t>
      </w:r>
    </w:p>
    <w:p w:rsidR="00F163A9" w:rsidRDefault="003E3D42" w:rsidP="00A80D8B">
      <w:pPr>
        <w:jc w:val="both"/>
      </w:pPr>
      <w:r>
        <w:t>Durante a reunião, esclareceu o Sr. Sérgio Bene</w:t>
      </w:r>
      <w:r w:rsidR="00D6625F">
        <w:t>vides que ITAIPU pretende mesmo</w:t>
      </w:r>
      <w:proofErr w:type="gramStart"/>
      <w:r w:rsidR="00D6625F">
        <w:t xml:space="preserve"> </w:t>
      </w:r>
      <w:r>
        <w:t xml:space="preserve"> </w:t>
      </w:r>
      <w:proofErr w:type="gramEnd"/>
      <w:r>
        <w:t>conforme veiculou na RCA 050/13, realizar a desmobilização das Vilas “A” e “B” (venda dos imóveis</w:t>
      </w:r>
      <w:r w:rsidR="00F163A9">
        <w:t>)</w:t>
      </w:r>
      <w:r>
        <w:t xml:space="preserve">, pois reafirmou que o foco da ITAIPU é geração de energia e não administração de imóveis que não guarda relação direta com a sua atividade fim. Relembrou que </w:t>
      </w:r>
      <w:r w:rsidR="00F163A9">
        <w:t>a ITAIPU, ao ficar pronta, não precisava mais de tantos imóveis para oferecer aos seus empregados como um</w:t>
      </w:r>
      <w:proofErr w:type="gramStart"/>
      <w:r w:rsidR="00F163A9">
        <w:t xml:space="preserve">  </w:t>
      </w:r>
      <w:proofErr w:type="spellStart"/>
      <w:proofErr w:type="gramEnd"/>
      <w:r w:rsidR="00F163A9">
        <w:t>plus</w:t>
      </w:r>
      <w:proofErr w:type="spellEnd"/>
      <w:r w:rsidR="00F163A9">
        <w:t xml:space="preserve"> na relação de trabalho, e em acordo coletivo com os sindicatos das categorias que compunha o quadro de funcionários, abriu-se mão do direito à moradia, ocasião esta na qual se ofereceram e venderam alguns imóveis nas Vilas “A” e “B” aos funcionários que puderam adquiri-los por um bom preço na ocasião, pois estavam abrindo mão de um direito (moradia).</w:t>
      </w:r>
    </w:p>
    <w:p w:rsidR="00F163A9" w:rsidRDefault="00F163A9" w:rsidP="00A80D8B">
      <w:pPr>
        <w:jc w:val="both"/>
      </w:pPr>
      <w:r>
        <w:t xml:space="preserve">Esclareceu ainda o Sr. Benevides que conforme traz expresso na RCA050/13, a desmobilização patrimonial (venda), começou pela </w:t>
      </w:r>
      <w:proofErr w:type="gramStart"/>
      <w:r>
        <w:t>permissionária FURNAS</w:t>
      </w:r>
      <w:proofErr w:type="gramEnd"/>
      <w:r>
        <w:t>, detentora de 76 imóveis, mas traçou a resolução, parâmetro para as demais vendas aos terceiros permissionários, estando incluído aí a permissionária</w:t>
      </w:r>
      <w:r w:rsidR="00D6625F">
        <w:t xml:space="preserve"> AFAPC, porém não se tem uma data ainda para a notificação dos demais permissionários, mas lembrou a diretoria da AFAPC que os moradores devem se preparar para adquirir os imóveis, pois a ITAIPU ao notificar os permissionários, dá um prazo relativamente curto para a decisão pela compra, bem como a disponibilização do pagamento.</w:t>
      </w:r>
    </w:p>
    <w:p w:rsidR="00D6625F" w:rsidRDefault="00D6625F" w:rsidP="00A80D8B">
      <w:pPr>
        <w:jc w:val="both"/>
      </w:pPr>
      <w:r>
        <w:t xml:space="preserve">Convém lembrar que os imóveis serão oferecidos à permissionária AFAPC, que declinará do </w:t>
      </w:r>
      <w:proofErr w:type="gramStart"/>
      <w:r>
        <w:t>direito</w:t>
      </w:r>
      <w:proofErr w:type="gramEnd"/>
      <w:r>
        <w:t xml:space="preserve"> de compra ao associado-morador que quiser e puder adquirir o imóvel pe</w:t>
      </w:r>
      <w:r w:rsidR="00A80D8B">
        <w:t>l</w:t>
      </w:r>
      <w:r>
        <w:t xml:space="preserve">o preço oferecido. Sendo conveniente lembrar aos </w:t>
      </w:r>
      <w:proofErr w:type="spellStart"/>
      <w:r>
        <w:t>associados-moradores</w:t>
      </w:r>
      <w:proofErr w:type="spellEnd"/>
      <w:r>
        <w:t xml:space="preserve"> que o modelo de ocupação (permissão de uso oneroso) não gera direito à indenização por benfeitorias. Porém, as benfeitorias feitas com ciência de ITAIPU, e que o morador tenha guardado notas e compr</w:t>
      </w:r>
      <w:r w:rsidR="00A80D8B">
        <w:t>ovantes de gastos, essas sim, vão ser objeto de questionamento, pois vislumbra se aí a possibilidade de serem consideradas na ocasião da avaliação do imóvel, pois se do contrário fosse, estaríamos correndo o risco de a ITAIPU, nos “vender” na avaliação, benfeitorias que nós próprios fizemos, para manter estruturalmente os imóveis (benfeitorias úteis e necessárias).</w:t>
      </w:r>
    </w:p>
    <w:p w:rsidR="00A80D8B" w:rsidRDefault="00A80D8B" w:rsidP="00A80D8B">
      <w:pPr>
        <w:jc w:val="both"/>
      </w:pPr>
      <w:r>
        <w:t xml:space="preserve">Nos dias que se seguem, os diretores: Noel, André, Edilson e </w:t>
      </w:r>
      <w:proofErr w:type="spellStart"/>
      <w:r>
        <w:t>Eurides</w:t>
      </w:r>
      <w:proofErr w:type="spellEnd"/>
      <w:r>
        <w:t xml:space="preserve"> darão continuidade em conversa iniciada com os bancos de </w:t>
      </w:r>
      <w:r w:rsidR="00B56773">
        <w:t>relacionamento</w:t>
      </w:r>
      <w:r>
        <w:t xml:space="preserve"> da AFAPC ( Banco do Brasil e CEF), no sentido de que em bloco, os </w:t>
      </w:r>
      <w:proofErr w:type="spellStart"/>
      <w:r>
        <w:t>associados-AFAPC</w:t>
      </w:r>
      <w:proofErr w:type="spellEnd"/>
      <w:r>
        <w:t xml:space="preserve"> possam ter maiores vantagens em linhas de crédito do Sistema Financeiro da Habitação (SFH), visando adquirir os imóveis  da Vila “A”.</w:t>
      </w:r>
    </w:p>
    <w:p w:rsidR="00D6625F" w:rsidRDefault="00D6625F"/>
    <w:sectPr w:rsidR="00D6625F" w:rsidSect="007C14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3D42"/>
    <w:rsid w:val="003E3D42"/>
    <w:rsid w:val="007C1435"/>
    <w:rsid w:val="00A80D8B"/>
    <w:rsid w:val="00AB4351"/>
    <w:rsid w:val="00B56773"/>
    <w:rsid w:val="00D6625F"/>
    <w:rsid w:val="00DF6388"/>
    <w:rsid w:val="00EA6BF6"/>
    <w:rsid w:val="00F16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4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2540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Noel</dc:creator>
  <cp:lastModifiedBy>Noel</cp:lastModifiedBy>
  <cp:revision>3</cp:revision>
  <dcterms:created xsi:type="dcterms:W3CDTF">2014-02-10T14:39:00Z</dcterms:created>
  <dcterms:modified xsi:type="dcterms:W3CDTF">2014-02-11T13:45:00Z</dcterms:modified>
</cp:coreProperties>
</file>